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69489C">
        <w:rPr>
          <w:sz w:val="24"/>
        </w:rPr>
        <w:t>80</w:t>
      </w:r>
      <w:r w:rsidRPr="0056691F">
        <w:rPr>
          <w:sz w:val="24"/>
        </w:rPr>
        <w:tab/>
      </w:r>
      <w:r w:rsidR="00AB4B1B" w:rsidRPr="00AB4B1B">
        <w:rPr>
          <w:sz w:val="24"/>
        </w:rPr>
        <w:t>R4-166190</w:t>
      </w:r>
    </w:p>
    <w:p w:rsidR="00C46831" w:rsidRDefault="0069489C" w:rsidP="00C46831">
      <w:pPr>
        <w:pStyle w:val="BodyText"/>
        <w:rPr>
          <w:rFonts w:ascii="Arial" w:hAnsi="Arial"/>
          <w:b/>
          <w:noProof/>
          <w:szCs w:val="20"/>
          <w:lang w:val="en-GB"/>
        </w:rPr>
      </w:pPr>
      <w:r>
        <w:rPr>
          <w:rFonts w:ascii="Arial" w:hAnsi="Arial"/>
          <w:b/>
          <w:noProof/>
          <w:szCs w:val="20"/>
          <w:lang w:val="en-GB"/>
        </w:rPr>
        <w:t>Gothenburg, Sweden, 22 - 26</w:t>
      </w:r>
      <w:r w:rsidR="00F45E7F">
        <w:rPr>
          <w:rFonts w:ascii="Arial" w:hAnsi="Arial"/>
          <w:b/>
          <w:noProof/>
          <w:szCs w:val="20"/>
          <w:lang w:val="en-GB"/>
        </w:rPr>
        <w:t xml:space="preserve"> August</w:t>
      </w:r>
      <w:r w:rsidR="00C46831" w:rsidRPr="009D0B0A">
        <w:rPr>
          <w:rFonts w:ascii="Arial" w:hAnsi="Arial"/>
          <w:b/>
          <w:noProof/>
          <w:szCs w:val="20"/>
          <w:lang w:val="en-GB"/>
        </w:rPr>
        <w:t xml:space="preserve"> 2016   </w:t>
      </w:r>
    </w:p>
    <w:p w:rsidR="00001F32" w:rsidRDefault="00001F32" w:rsidP="00001F32">
      <w:pPr>
        <w:pStyle w:val="BodyText"/>
        <w:rPr>
          <w:rFonts w:ascii="Arial" w:hAnsi="Arial"/>
          <w:b/>
          <w:noProof/>
          <w:szCs w:val="20"/>
          <w:lang w:val="en-GB"/>
        </w:rPr>
      </w:pPr>
    </w:p>
    <w:p w:rsidR="0033186E" w:rsidRPr="00241EBC" w:rsidRDefault="0033186E" w:rsidP="0033186E">
      <w:pPr>
        <w:tabs>
          <w:tab w:val="left" w:pos="1985"/>
        </w:tabs>
        <w:spacing w:before="240" w:after="0"/>
        <w:jc w:val="both"/>
        <w:rPr>
          <w:bCs/>
          <w:sz w:val="22"/>
          <w:lang w:val="en-US"/>
        </w:rPr>
      </w:pPr>
      <w:r w:rsidRPr="00241EBC">
        <w:rPr>
          <w:b/>
          <w:sz w:val="22"/>
          <w:lang w:val="en-US"/>
        </w:rPr>
        <w:t>Agenda Item:</w:t>
      </w:r>
      <w:r w:rsidRPr="00241EBC">
        <w:rPr>
          <w:sz w:val="22"/>
          <w:lang w:val="en-US"/>
        </w:rPr>
        <w:tab/>
      </w:r>
      <w:r w:rsidR="00AB4B1B" w:rsidRPr="00AB4B1B">
        <w:rPr>
          <w:bCs/>
          <w:sz w:val="22"/>
          <w:lang w:val="en-US"/>
        </w:rPr>
        <w:t>8.10.3.1</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8E26DF" w:rsidRPr="008E26DF">
        <w:rPr>
          <w:sz w:val="22"/>
        </w:rPr>
        <w:t xml:space="preserve">Discussion </w:t>
      </w:r>
      <w:r w:rsidR="003C32A6">
        <w:rPr>
          <w:sz w:val="22"/>
        </w:rPr>
        <w:t>performance requirements</w:t>
      </w:r>
      <w:r w:rsidR="00957ABF">
        <w:rPr>
          <w:sz w:val="22"/>
        </w:rPr>
        <w:t xml:space="preserve"> of control channels</w:t>
      </w:r>
      <w:r w:rsidR="003C32A6">
        <w:rPr>
          <w:sz w:val="22"/>
        </w:rPr>
        <w:t xml:space="preserve"> for </w:t>
      </w:r>
      <w:r w:rsidR="00554495">
        <w:rPr>
          <w:sz w:val="22"/>
        </w:rPr>
        <w:t>bidirectional deployment</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0D0DFC" w:rsidRPr="00804256" w:rsidRDefault="003C32A6" w:rsidP="00C46831">
      <w:pPr>
        <w:rPr>
          <w:rFonts w:eastAsia="MS PGothic"/>
          <w:lang w:eastAsia="ja-JP"/>
        </w:rPr>
      </w:pPr>
      <w:r>
        <w:t xml:space="preserve">In </w:t>
      </w:r>
      <w:r w:rsidR="00C353DB">
        <w:t xml:space="preserve">the way forward </w:t>
      </w:r>
      <w:r w:rsidR="00C353DB">
        <w:fldChar w:fldCharType="begin"/>
      </w:r>
      <w:r w:rsidR="00C353DB">
        <w:instrText xml:space="preserve"> REF _Ref450733933 \n \h </w:instrText>
      </w:r>
      <w:r w:rsidR="00C353DB">
        <w:fldChar w:fldCharType="separate"/>
      </w:r>
      <w:r w:rsidR="00C353DB">
        <w:t>[1]</w:t>
      </w:r>
      <w:r w:rsidR="00C353DB">
        <w:fldChar w:fldCharType="end"/>
      </w:r>
      <w:r w:rsidR="00C353DB">
        <w:t xml:space="preserve">, channel assumptions for the </w:t>
      </w:r>
      <w:r w:rsidR="00C33E02">
        <w:t xml:space="preserve">bidirectional deployment was agreed. There were several options in the way </w:t>
      </w:r>
      <w:r w:rsidR="00610342">
        <w:t>forward. In this paper w</w:t>
      </w:r>
      <w:r w:rsidR="00686EA3">
        <w:t>e show results for PDCCH and PBCH based on this WF with both 2 RRH and with 4 RRHs in the scenarios 1 and 2d.</w:t>
      </w:r>
    </w:p>
    <w:p w:rsidR="00643591" w:rsidRPr="00643591" w:rsidRDefault="00643591" w:rsidP="00C11EC9"/>
    <w:p w:rsidR="000D0DFC" w:rsidRDefault="00C353DB" w:rsidP="00F0637E">
      <w:pPr>
        <w:pStyle w:val="Heading1"/>
        <w:tabs>
          <w:tab w:val="clear" w:pos="-538"/>
          <w:tab w:val="num" w:pos="0"/>
        </w:tabs>
        <w:ind w:left="0" w:firstLine="0"/>
      </w:pPr>
      <w:r>
        <w:t>Discussions and Results</w:t>
      </w:r>
    </w:p>
    <w:p w:rsidR="00957ABF" w:rsidRDefault="00957ABF" w:rsidP="00957ABF">
      <w:pPr>
        <w:pStyle w:val="Heading2"/>
        <w:tabs>
          <w:tab w:val="clear" w:pos="-821"/>
          <w:tab w:val="num" w:pos="880"/>
        </w:tabs>
        <w:ind w:left="1304"/>
      </w:pPr>
      <w:r>
        <w:t>Control channel evaluation</w:t>
      </w:r>
    </w:p>
    <w:p w:rsidR="00A0137F" w:rsidRPr="009C7A85" w:rsidRDefault="00A0137F" w:rsidP="00A0137F">
      <w:r>
        <w:t xml:space="preserve">The control channels are very important for how the networks is working. In this first evaluation the PDCCH channel is simulated for the RRC control signalling to work, and the PBCH channel is simulated for the idle mode performance for the UEs in the train. </w:t>
      </w:r>
    </w:p>
    <w:p w:rsidR="009A3F5F" w:rsidRDefault="00492F6C" w:rsidP="009A3F5F">
      <w:r>
        <w:t>The PDCCH performance on a certain pr</w:t>
      </w:r>
      <w:r w:rsidR="00A0137F">
        <w:t>o</w:t>
      </w:r>
      <w:r>
        <w:t xml:space="preserve">pagatioon condition is dependent on the aggregation level. In this contribution Aggregation level 4 and 8 are analysed. </w:t>
      </w:r>
    </w:p>
    <w:p w:rsidR="00957ABF" w:rsidRPr="00957ABF" w:rsidRDefault="00957ABF" w:rsidP="00957ABF"/>
    <w:p w:rsidR="00C46831" w:rsidRDefault="00C46831" w:rsidP="00C46831">
      <w:pPr>
        <w:pStyle w:val="Heading2"/>
        <w:tabs>
          <w:tab w:val="clear" w:pos="-821"/>
          <w:tab w:val="num" w:pos="880"/>
        </w:tabs>
      </w:pPr>
      <w:r>
        <w:t xml:space="preserve">Channel model </w:t>
      </w:r>
    </w:p>
    <w:p w:rsidR="00C46831" w:rsidRDefault="00C46831" w:rsidP="00C46831">
      <w:pPr>
        <w:rPr>
          <w:lang w:eastAsia="zh-CN"/>
        </w:rPr>
      </w:pPr>
      <w:r>
        <w:t xml:space="preserve">The channel model for the bidirectional deployment scenario </w:t>
      </w:r>
      <w:r w:rsidR="00C33E02">
        <w:t>is in this paper</w:t>
      </w:r>
      <w:r>
        <w:t xml:space="preserve"> based on the SFN scenario in section 6.2.3.1, “</w:t>
      </w:r>
      <w:r>
        <w:rPr>
          <w:lang w:eastAsia="zh-CN"/>
        </w:rPr>
        <w:t xml:space="preserve">SFN scenario (RRH sharing the same cell id)” in the TR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parameters to the propagation conditions may be based on the WF </w:t>
      </w:r>
      <w:r>
        <w:rPr>
          <w:lang w:eastAsia="zh-CN"/>
        </w:rPr>
        <w:fldChar w:fldCharType="begin"/>
      </w:r>
      <w:r>
        <w:rPr>
          <w:lang w:eastAsia="zh-CN"/>
        </w:rPr>
        <w:instrText xml:space="preserve"> REF _Ref447200734 \n \h </w:instrText>
      </w:r>
      <w:r>
        <w:rPr>
          <w:lang w:eastAsia="zh-CN"/>
        </w:rPr>
      </w:r>
      <w:r>
        <w:rPr>
          <w:lang w:eastAsia="zh-CN"/>
        </w:rPr>
        <w:fldChar w:fldCharType="separate"/>
      </w:r>
      <w:r>
        <w:rPr>
          <w:lang w:eastAsia="zh-CN"/>
        </w:rPr>
        <w:t>[4]</w:t>
      </w:r>
      <w:r>
        <w:rPr>
          <w:lang w:eastAsia="zh-CN"/>
        </w:rPr>
        <w:fldChar w:fldCharType="end"/>
      </w:r>
      <w:r>
        <w:rPr>
          <w:lang w:eastAsia="zh-CN"/>
        </w:rPr>
        <w:t>. That is two scenarios</w:t>
      </w:r>
    </w:p>
    <w:p w:rsidR="00C46831" w:rsidRDefault="00C46831" w:rsidP="00C46831">
      <w:pPr>
        <w:numPr>
          <w:ilvl w:val="0"/>
          <w:numId w:val="25"/>
        </w:numPr>
        <w:rPr>
          <w:lang w:eastAsia="zh-CN"/>
        </w:rPr>
      </w:pPr>
      <w:r>
        <w:rPr>
          <w:lang w:eastAsia="zh-CN"/>
        </w:rPr>
        <w:t>Dmin=300m and Ds=1km</w:t>
      </w:r>
    </w:p>
    <w:p w:rsidR="00C46831" w:rsidRDefault="00C46831" w:rsidP="00C46831">
      <w:pPr>
        <w:numPr>
          <w:ilvl w:val="0"/>
          <w:numId w:val="25"/>
        </w:numPr>
        <w:rPr>
          <w:lang w:eastAsia="zh-CN"/>
        </w:rPr>
      </w:pPr>
      <w:r>
        <w:rPr>
          <w:lang w:eastAsia="zh-CN"/>
        </w:rPr>
        <w:t>Dmin=5m and Ds=500m</w:t>
      </w:r>
    </w:p>
    <w:p w:rsidR="00C46831" w:rsidRDefault="00C46831" w:rsidP="00C46831">
      <w:pPr>
        <w:rPr>
          <w:lang w:eastAsia="zh-CN"/>
        </w:rPr>
      </w:pPr>
      <w:r>
        <w:rPr>
          <w:lang w:eastAsia="zh-CN"/>
        </w:rPr>
        <w:t xml:space="preserve">The maximum Doppler frequency should for the bidirectional deployment be fd= 875 Hz (350 km/h) according the TR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w:t>
      </w:r>
    </w:p>
    <w:p w:rsidR="00C46831" w:rsidRPr="00C46831" w:rsidRDefault="00492F6C" w:rsidP="00C46831">
      <w:r>
        <w:t xml:space="preserve">In this evaluation the two path channel condition as discussed before is </w:t>
      </w:r>
      <w:r w:rsidR="00A0137F">
        <w:t>used in the simulation.</w:t>
      </w:r>
    </w:p>
    <w:p w:rsidR="00C46831" w:rsidRDefault="00D936D5" w:rsidP="000D0DFC">
      <w:pPr>
        <w:pStyle w:val="Heading2"/>
      </w:pPr>
      <w:r>
        <w:t>Receivers</w:t>
      </w:r>
    </w:p>
    <w:p w:rsidR="00505314" w:rsidRDefault="00505314" w:rsidP="00505314">
      <w:r>
        <w:t xml:space="preserve">In our analysis we have focused on a legacy receiver for a fading channel with an adapted AFC </w:t>
      </w:r>
      <w:r w:rsidR="00C40FA0">
        <w:t>for</w:t>
      </w:r>
      <w:r>
        <w:t xml:space="preserve"> handling of the Doppler frequencies. </w:t>
      </w:r>
    </w:p>
    <w:p w:rsidR="00505314" w:rsidRPr="00505314" w:rsidRDefault="00351953" w:rsidP="00505314">
      <w:pPr>
        <w:pStyle w:val="Heading3"/>
      </w:pPr>
      <w:r>
        <w:t>AFC</w:t>
      </w:r>
    </w:p>
    <w:p w:rsidR="00505314" w:rsidRDefault="00686EA3" w:rsidP="00505314">
      <w:r>
        <w:t xml:space="preserve">In these simulations the AFC algorithm is adapted in order to cope with the difficult scenario when there are several paths received with very different Doppler shift. </w:t>
      </w:r>
    </w:p>
    <w:p w:rsidR="00351953" w:rsidRDefault="00351953" w:rsidP="00351953"/>
    <w:p w:rsidR="00351953" w:rsidRPr="00351953" w:rsidRDefault="00351953" w:rsidP="00351953"/>
    <w:p w:rsidR="00F03EE2" w:rsidRDefault="00C46831" w:rsidP="000D0DFC">
      <w:pPr>
        <w:pStyle w:val="Heading2"/>
      </w:pPr>
      <w:r>
        <w:lastRenderedPageBreak/>
        <w:t>Simulation</w:t>
      </w:r>
      <w:r w:rsidR="0077366D">
        <w:t xml:space="preserve"> results</w:t>
      </w:r>
    </w:p>
    <w:p w:rsidR="00492F6C" w:rsidRDefault="00492F6C" w:rsidP="00492F6C">
      <w:pPr>
        <w:pStyle w:val="Heading3"/>
      </w:pPr>
      <w:r>
        <w:t>PDCCH</w:t>
      </w:r>
    </w:p>
    <w:p w:rsidR="00492F6C" w:rsidRDefault="00492F6C" w:rsidP="00492F6C">
      <w:r>
        <w:t>The PDCCH channel is simulated for</w:t>
      </w:r>
      <w:r w:rsidR="00B9124B">
        <w:t xml:space="preserve"> the scenario with 500 m distance between </w:t>
      </w:r>
      <w:r w:rsidR="00AB4B1B">
        <w:t xml:space="preserve">the RRHs and 5 m from the track with </w:t>
      </w:r>
      <w:r>
        <w:t xml:space="preserve"> aggregation level 4 and 8. </w:t>
      </w:r>
    </w:p>
    <w:p w:rsidR="00492F6C" w:rsidRDefault="00492F6C" w:rsidP="00492F6C"/>
    <w:p w:rsidR="00492F6C" w:rsidRDefault="00675200" w:rsidP="00492F6C">
      <w:pPr>
        <w:keepNext/>
      </w:pPr>
      <w:r>
        <w:rPr>
          <w:noProof/>
          <w:lang w:val="sv-SE" w:eastAsia="sv-SE"/>
        </w:rPr>
        <w:drawing>
          <wp:inline distT="0" distB="0" distL="0" distR="0">
            <wp:extent cx="6120765" cy="4591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direct_500_5.png"/>
                    <pic:cNvPicPr/>
                  </pic:nvPicPr>
                  <pic:blipFill>
                    <a:blip r:embed="rId8">
                      <a:extLst>
                        <a:ext uri="{28A0092B-C50C-407E-A947-70E740481C1C}">
                          <a14:useLocalDpi xmlns:a14="http://schemas.microsoft.com/office/drawing/2010/main" val="0"/>
                        </a:ext>
                      </a:extLst>
                    </a:blip>
                    <a:stretch>
                      <a:fillRect/>
                    </a:stretch>
                  </pic:blipFill>
                  <pic:spPr>
                    <a:xfrm>
                      <a:off x="0" y="0"/>
                      <a:ext cx="6120765" cy="4591050"/>
                    </a:xfrm>
                    <a:prstGeom prst="rect">
                      <a:avLst/>
                    </a:prstGeom>
                  </pic:spPr>
                </pic:pic>
              </a:graphicData>
            </a:graphic>
          </wp:inline>
        </w:drawing>
      </w:r>
    </w:p>
    <w:p w:rsidR="00492F6C" w:rsidRDefault="00492F6C" w:rsidP="00492F6C">
      <w:pPr>
        <w:pStyle w:val="Caption"/>
      </w:pPr>
      <w:bookmarkStart w:id="1" w:name="_Ref458666870"/>
      <w:r>
        <w:t xml:space="preserve">Figure </w:t>
      </w:r>
      <w:r>
        <w:fldChar w:fldCharType="begin"/>
      </w:r>
      <w:r>
        <w:instrText xml:space="preserve"> SEQ Figure \* ARABIC </w:instrText>
      </w:r>
      <w:r>
        <w:fldChar w:fldCharType="separate"/>
      </w:r>
      <w:r>
        <w:rPr>
          <w:noProof/>
        </w:rPr>
        <w:t>1</w:t>
      </w:r>
      <w:r>
        <w:fldChar w:fldCharType="end"/>
      </w:r>
      <w:bookmarkEnd w:id="1"/>
      <w:r>
        <w:t>: PDCCH performance with adapted legacy receiver</w:t>
      </w:r>
    </w:p>
    <w:p w:rsidR="00492F6C" w:rsidRDefault="00492F6C" w:rsidP="00492F6C"/>
    <w:p w:rsidR="00492F6C" w:rsidRDefault="00492F6C" w:rsidP="00492F6C">
      <w:r>
        <w:t xml:space="preserve">In </w:t>
      </w:r>
      <w:r>
        <w:fldChar w:fldCharType="begin"/>
      </w:r>
      <w:r>
        <w:instrText xml:space="preserve"> REF _Ref458666870 \h </w:instrText>
      </w:r>
      <w:r>
        <w:fldChar w:fldCharType="separate"/>
      </w:r>
      <w:r>
        <w:t xml:space="preserve">Figure </w:t>
      </w:r>
      <w:r>
        <w:rPr>
          <w:noProof/>
        </w:rPr>
        <w:t>1</w:t>
      </w:r>
      <w:r>
        <w:fldChar w:fldCharType="end"/>
      </w:r>
      <w:r>
        <w:t xml:space="preserve"> the performance for PDCCH for aggregation level 4 is shown for Doppler</w:t>
      </w:r>
      <w:r w:rsidR="00675200">
        <w:t xml:space="preserve"> shifts equal to 870 and 35 Hz and some simulation points for aggregation level 8 indicating the performance.</w:t>
      </w:r>
    </w:p>
    <w:p w:rsidR="00DB5BE0" w:rsidRDefault="00DB5BE0" w:rsidP="00492F6C"/>
    <w:p w:rsidR="00492F6C" w:rsidRDefault="00492F6C" w:rsidP="00492F6C">
      <w:pPr>
        <w:pStyle w:val="Heading3"/>
      </w:pPr>
      <w:r>
        <w:lastRenderedPageBreak/>
        <w:t>PBCH</w:t>
      </w:r>
    </w:p>
    <w:p w:rsidR="00492F6C" w:rsidRPr="00492F6C" w:rsidRDefault="00A75C97" w:rsidP="00492F6C">
      <w:r>
        <w:rPr>
          <w:noProof/>
          <w:lang w:val="sv-SE" w:eastAsia="sv-SE"/>
        </w:rPr>
        <w:drawing>
          <wp:inline distT="0" distB="0" distL="0" distR="0">
            <wp:extent cx="6120765"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direct PBCH_1.png"/>
                    <pic:cNvPicPr/>
                  </pic:nvPicPr>
                  <pic:blipFill>
                    <a:blip r:embed="rId9">
                      <a:extLst>
                        <a:ext uri="{28A0092B-C50C-407E-A947-70E740481C1C}">
                          <a14:useLocalDpi xmlns:a14="http://schemas.microsoft.com/office/drawing/2010/main" val="0"/>
                        </a:ext>
                      </a:extLst>
                    </a:blip>
                    <a:stretch>
                      <a:fillRect/>
                    </a:stretch>
                  </pic:blipFill>
                  <pic:spPr>
                    <a:xfrm>
                      <a:off x="0" y="0"/>
                      <a:ext cx="6120765" cy="4591050"/>
                    </a:xfrm>
                    <a:prstGeom prst="rect">
                      <a:avLst/>
                    </a:prstGeom>
                  </pic:spPr>
                </pic:pic>
              </a:graphicData>
            </a:graphic>
          </wp:inline>
        </w:drawing>
      </w:r>
    </w:p>
    <w:p w:rsidR="00492F6C" w:rsidRPr="00492F6C" w:rsidRDefault="00492F6C" w:rsidP="00492F6C"/>
    <w:p w:rsidR="00DB5BE0" w:rsidRDefault="00DB5BE0" w:rsidP="00686EA3">
      <w:pPr>
        <w:pStyle w:val="Heading1"/>
        <w:ind w:left="1304"/>
      </w:pPr>
      <w:r>
        <w:t>Discussions</w:t>
      </w:r>
    </w:p>
    <w:p w:rsidR="00DB5BE0" w:rsidRDefault="00DB5BE0" w:rsidP="00DB5BE0">
      <w:r>
        <w:t xml:space="preserve">In this contribution we have started to simulate the control channels for the HST bidirectional conditions. </w:t>
      </w:r>
    </w:p>
    <w:p w:rsidR="00DB5BE0" w:rsidRDefault="00DB5BE0" w:rsidP="00DB5BE0">
      <w:r>
        <w:t>These simulati</w:t>
      </w:r>
      <w:r w:rsidR="003B4E19">
        <w:t>o</w:t>
      </w:r>
      <w:r>
        <w:t xml:space="preserve">n results show that the control channel performance is feasible, the PBCH reaches a good level at around 0 dB while the PDCCH performance </w:t>
      </w:r>
      <w:r w:rsidR="00675200">
        <w:t>for aggregation level 4</w:t>
      </w:r>
      <w:r>
        <w:t xml:space="preserve"> reaches a BLER rate  </w:t>
      </w:r>
      <w:r>
        <w:rPr>
          <w:rFonts w:eastAsia="SimSun"/>
        </w:rPr>
        <w:t>around 2% at SNR=</w:t>
      </w:r>
      <w:r w:rsidR="00675200">
        <w:rPr>
          <w:rFonts w:eastAsia="SimSun"/>
        </w:rPr>
        <w:t>5 dB and Aggregation level 8 will get better performance than that.</w:t>
      </w:r>
      <w:bookmarkStart w:id="2" w:name="_GoBack"/>
      <w:bookmarkEnd w:id="2"/>
    </w:p>
    <w:p w:rsidR="00DB5BE0" w:rsidRPr="00DB5BE0" w:rsidRDefault="00DB5BE0" w:rsidP="00DB5BE0"/>
    <w:p w:rsidR="00554495" w:rsidRDefault="00A75C97" w:rsidP="00686EA3">
      <w:pPr>
        <w:pStyle w:val="Heading1"/>
        <w:ind w:left="1304"/>
      </w:pPr>
      <w:r>
        <w:t>Conclusions</w:t>
      </w:r>
    </w:p>
    <w:p w:rsidR="00686EA3" w:rsidRDefault="00686EA3" w:rsidP="00686EA3"/>
    <w:p w:rsidR="00686EA3" w:rsidRPr="00686EA3" w:rsidRDefault="00686EA3" w:rsidP="00686EA3"/>
    <w:p w:rsidR="00D936D5" w:rsidRDefault="00492F6C" w:rsidP="00F720EA">
      <w:pPr>
        <w:rPr>
          <w:rFonts w:eastAsia="SimSun"/>
        </w:rPr>
      </w:pPr>
      <w:r w:rsidRPr="00492F6C">
        <w:rPr>
          <w:rFonts w:eastAsia="SimSun"/>
          <w:b/>
        </w:rPr>
        <w:t>Observation 1:</w:t>
      </w:r>
      <w:r>
        <w:rPr>
          <w:rFonts w:eastAsia="SimSun"/>
        </w:rPr>
        <w:t xml:space="preserve"> </w:t>
      </w:r>
      <w:r w:rsidR="00C353DB">
        <w:rPr>
          <w:rFonts w:eastAsia="SimSun"/>
        </w:rPr>
        <w:t xml:space="preserve">The simulations above show that results for </w:t>
      </w:r>
      <w:r w:rsidR="00686EA3">
        <w:rPr>
          <w:rFonts w:eastAsia="SimSun"/>
        </w:rPr>
        <w:t>PDCCH performance</w:t>
      </w:r>
      <w:r>
        <w:rPr>
          <w:rFonts w:eastAsia="SimSun"/>
        </w:rPr>
        <w:t xml:space="preserve"> when aggregation level 4 is used  </w:t>
      </w:r>
      <w:r w:rsidR="001F4545">
        <w:rPr>
          <w:rFonts w:eastAsia="SimSun"/>
        </w:rPr>
        <w:t>,</w:t>
      </w:r>
      <w:r w:rsidR="00686EA3">
        <w:rPr>
          <w:rFonts w:eastAsia="SimSun"/>
        </w:rPr>
        <w:t xml:space="preserve">  for 350 km/h (875 Hz)</w:t>
      </w:r>
      <w:r>
        <w:rPr>
          <w:rFonts w:eastAsia="SimSun"/>
        </w:rPr>
        <w:t xml:space="preserve"> has an error floor at about 2% BLER.</w:t>
      </w:r>
      <w:r w:rsidR="00A75C97">
        <w:rPr>
          <w:rFonts w:eastAsia="SimSun"/>
        </w:rPr>
        <w:t>performance HST’)</w:t>
      </w:r>
    </w:p>
    <w:p w:rsidR="00A75C97" w:rsidRDefault="00A75C97" w:rsidP="00F720EA">
      <w:pPr>
        <w:rPr>
          <w:rFonts w:eastAsia="SimSun"/>
        </w:rPr>
      </w:pPr>
      <w:r w:rsidRPr="00A75C97">
        <w:rPr>
          <w:rFonts w:eastAsia="SimSun"/>
          <w:b/>
        </w:rPr>
        <w:t>Observation 2:</w:t>
      </w:r>
      <w:r>
        <w:rPr>
          <w:rFonts w:eastAsia="SimSun"/>
        </w:rPr>
        <w:t xml:space="preserve"> The PDCCH performance with aggregation level 8</w:t>
      </w:r>
      <w:r w:rsidR="00DB5BE0">
        <w:rPr>
          <w:rFonts w:eastAsia="SimSun"/>
        </w:rPr>
        <w:t xml:space="preserve"> reaches.</w:t>
      </w:r>
    </w:p>
    <w:p w:rsidR="00A75C97" w:rsidRDefault="00A75C97" w:rsidP="00F720EA">
      <w:pPr>
        <w:rPr>
          <w:rFonts w:eastAsia="SimSun"/>
        </w:rPr>
      </w:pPr>
    </w:p>
    <w:p w:rsidR="00A75C97" w:rsidRDefault="00A75C97" w:rsidP="00F720EA">
      <w:pPr>
        <w:rPr>
          <w:rFonts w:eastAsia="SimSun"/>
        </w:rPr>
      </w:pPr>
      <w:r w:rsidRPr="00A75C97">
        <w:rPr>
          <w:rFonts w:eastAsia="SimSun"/>
          <w:b/>
        </w:rPr>
        <w:t>Observation 3:</w:t>
      </w:r>
      <w:r>
        <w:rPr>
          <w:rFonts w:eastAsia="SimSun"/>
        </w:rPr>
        <w:t xml:space="preserve"> The PBCH performance reaches an error floor at about 0.1% at SNR=0dB.</w:t>
      </w:r>
    </w:p>
    <w:p w:rsidR="00DB5BE0" w:rsidRDefault="00DB5BE0" w:rsidP="00F720EA">
      <w:pPr>
        <w:rPr>
          <w:rFonts w:eastAsia="SimSun"/>
        </w:rPr>
      </w:pPr>
    </w:p>
    <w:p w:rsidR="00DB5BE0" w:rsidRDefault="00DB5BE0" w:rsidP="00F720EA">
      <w:pPr>
        <w:rPr>
          <w:rFonts w:eastAsia="SimSun"/>
        </w:rPr>
      </w:pPr>
      <w:r w:rsidRPr="00DB5BE0">
        <w:rPr>
          <w:rFonts w:eastAsia="SimSun"/>
          <w:b/>
        </w:rPr>
        <w:t>Proposal 1:</w:t>
      </w:r>
      <w:r>
        <w:rPr>
          <w:rFonts w:eastAsia="SimSun"/>
        </w:rPr>
        <w:t xml:space="preserve"> Continue the evaluation of the control channel performance</w:t>
      </w:r>
    </w:p>
    <w:p w:rsidR="00492F6C" w:rsidRPr="00F720EA" w:rsidRDefault="00492F6C" w:rsidP="00F720EA">
      <w:pPr>
        <w:rPr>
          <w:rFonts w:eastAsia="SimSun"/>
        </w:rPr>
      </w:pPr>
    </w:p>
    <w:p w:rsidR="0088114D" w:rsidRDefault="0088114D" w:rsidP="00166B8E"/>
    <w:p w:rsidR="00643591" w:rsidRDefault="00643591" w:rsidP="00643591">
      <w:pPr>
        <w:pStyle w:val="Heading1"/>
        <w:ind w:left="1304"/>
      </w:pPr>
      <w:r w:rsidRPr="0022368E">
        <w:t>References</w:t>
      </w:r>
    </w:p>
    <w:p w:rsidR="00DB5BE0" w:rsidRPr="009D27AB" w:rsidRDefault="00686EA3" w:rsidP="00DB5BE0">
      <w:pPr>
        <w:numPr>
          <w:ilvl w:val="0"/>
          <w:numId w:val="18"/>
        </w:numPr>
        <w:rPr>
          <w:bCs/>
          <w:lang w:val="en-US"/>
        </w:rPr>
      </w:pPr>
      <w:bookmarkStart w:id="3" w:name="_Ref450733933"/>
      <w:r w:rsidRPr="001C50BB">
        <w:rPr>
          <w:b/>
          <w:bCs/>
        </w:rPr>
        <w:t>R4-163419</w:t>
      </w:r>
      <w:r w:rsidRPr="00C353DB">
        <w:rPr>
          <w:bCs/>
          <w:lang w:val="en-US"/>
        </w:rPr>
        <w:t xml:space="preserve">: </w:t>
      </w:r>
      <w:bookmarkEnd w:id="3"/>
      <w:r w:rsidRPr="001C50BB">
        <w:rPr>
          <w:bCs/>
          <w:lang w:val="en-US"/>
        </w:rPr>
        <w:t>Way forward on channel model and UE performance enhancement for SFN scenario</w:t>
      </w:r>
      <w:r>
        <w:rPr>
          <w:bCs/>
          <w:lang w:val="en-US"/>
        </w:rPr>
        <w:t xml:space="preserve">, </w:t>
      </w:r>
      <w:r w:rsidRPr="001C50BB">
        <w:rPr>
          <w:bCs/>
        </w:rPr>
        <w:t>Huawei, HiSilicon, NTT DOCOMO,CMCC, MediaTek, Ericsson, Qualcomm , ITRI</w:t>
      </w:r>
    </w:p>
    <w:p w:rsidR="00DB5BE0" w:rsidRDefault="00DB5BE0" w:rsidP="00DB5BE0">
      <w:pPr>
        <w:numPr>
          <w:ilvl w:val="0"/>
          <w:numId w:val="18"/>
        </w:numPr>
        <w:rPr>
          <w:b/>
        </w:rPr>
      </w:pPr>
      <w:bookmarkStart w:id="4" w:name="_Ref442702812"/>
      <w:r>
        <w:t>36.87</w:t>
      </w:r>
      <w:r w:rsidRPr="00831804">
        <w:t>8</w:t>
      </w:r>
      <w:r>
        <w:rPr>
          <w:b/>
        </w:rPr>
        <w:t xml:space="preserve"> </w:t>
      </w:r>
      <w:r w:rsidRPr="001352ED">
        <w:rPr>
          <w:lang w:val="en-US"/>
        </w:rPr>
        <w:t xml:space="preserve">, </w:t>
      </w:r>
      <w:r w:rsidRPr="00CD48A7">
        <w:rPr>
          <w:i/>
          <w:lang w:val="en-US"/>
        </w:rPr>
        <w:t>Study on performance enhancements for high speed scenario in LTE</w:t>
      </w:r>
      <w:r w:rsidRPr="001352ED">
        <w:rPr>
          <w:lang w:val="en-US"/>
        </w:rPr>
        <w:t>, (Release 13)</w:t>
      </w:r>
      <w:bookmarkEnd w:id="4"/>
    </w:p>
    <w:p w:rsidR="00886ACE" w:rsidRPr="00686EA3" w:rsidRDefault="00886ACE" w:rsidP="000D0739">
      <w:pPr>
        <w:ind w:left="360"/>
        <w:rPr>
          <w:lang w:val="en-US"/>
        </w:rPr>
      </w:pPr>
    </w:p>
    <w:sectPr w:rsidR="00886ACE" w:rsidRPr="00686EA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554" w:rsidRDefault="00FF2554">
      <w:r>
        <w:separator/>
      </w:r>
    </w:p>
  </w:endnote>
  <w:endnote w:type="continuationSeparator" w:id="0">
    <w:p w:rsidR="00FF2554" w:rsidRDefault="00FF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554" w:rsidRDefault="00FF2554">
      <w:r>
        <w:separator/>
      </w:r>
    </w:p>
  </w:footnote>
  <w:footnote w:type="continuationSeparator" w:id="0">
    <w:p w:rsidR="00FF2554" w:rsidRDefault="00FF2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821"/>
        </w:tabs>
        <w:ind w:left="1730"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1"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0"/>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20"/>
  </w:num>
  <w:num w:numId="18">
    <w:abstractNumId w:val="15"/>
  </w:num>
  <w:num w:numId="19">
    <w:abstractNumId w:val="7"/>
  </w:num>
  <w:num w:numId="20">
    <w:abstractNumId w:val="7"/>
  </w:num>
  <w:num w:numId="21">
    <w:abstractNumId w:val="22"/>
  </w:num>
  <w:num w:numId="22">
    <w:abstractNumId w:val="21"/>
  </w:num>
  <w:num w:numId="23">
    <w:abstractNumId w:val="20"/>
  </w:num>
  <w:num w:numId="24">
    <w:abstractNumId w:val="2"/>
  </w:num>
  <w:num w:numId="25">
    <w:abstractNumId w:val="5"/>
  </w:num>
  <w:num w:numId="26">
    <w:abstractNumId w:val="20"/>
  </w:num>
  <w:num w:numId="27">
    <w:abstractNumId w:val="9"/>
  </w:num>
  <w:num w:numId="28">
    <w:abstractNumId w:val="19"/>
  </w:num>
  <w:num w:numId="29">
    <w:abstractNumId w:val="20"/>
  </w:num>
  <w:num w:numId="30">
    <w:abstractNumId w:val="20"/>
  </w:num>
  <w:num w:numId="31">
    <w:abstractNumId w:val="20"/>
  </w:num>
  <w:num w:numId="32">
    <w:abstractNumId w:val="20"/>
  </w:num>
  <w:num w:numId="33">
    <w:abstractNumId w:val="20"/>
  </w:num>
  <w:num w:numId="3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5081B"/>
    <w:rsid w:val="00250E53"/>
    <w:rsid w:val="00253DB0"/>
    <w:rsid w:val="0025435E"/>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C68"/>
    <w:rsid w:val="003B4D64"/>
    <w:rsid w:val="003B4E19"/>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22CC"/>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2F6C"/>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55E0"/>
    <w:rsid w:val="004B5634"/>
    <w:rsid w:val="004B5718"/>
    <w:rsid w:val="004B666B"/>
    <w:rsid w:val="004B6E0A"/>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200"/>
    <w:rsid w:val="00675EEE"/>
    <w:rsid w:val="00677F54"/>
    <w:rsid w:val="006812C4"/>
    <w:rsid w:val="00684088"/>
    <w:rsid w:val="00684247"/>
    <w:rsid w:val="00684D41"/>
    <w:rsid w:val="0068563E"/>
    <w:rsid w:val="00686D4E"/>
    <w:rsid w:val="00686EA3"/>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43A7"/>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804"/>
    <w:rsid w:val="00831C84"/>
    <w:rsid w:val="00833B56"/>
    <w:rsid w:val="00833E2E"/>
    <w:rsid w:val="00834319"/>
    <w:rsid w:val="00835C6A"/>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57ABF"/>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3F5F"/>
    <w:rsid w:val="009A40F9"/>
    <w:rsid w:val="009A413C"/>
    <w:rsid w:val="009B14DE"/>
    <w:rsid w:val="009B1EB9"/>
    <w:rsid w:val="009B29D5"/>
    <w:rsid w:val="009B72F9"/>
    <w:rsid w:val="009C091F"/>
    <w:rsid w:val="009C169A"/>
    <w:rsid w:val="009C266F"/>
    <w:rsid w:val="009C347A"/>
    <w:rsid w:val="009C4A98"/>
    <w:rsid w:val="009C6612"/>
    <w:rsid w:val="009D1EAC"/>
    <w:rsid w:val="009D27AB"/>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137F"/>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5C97"/>
    <w:rsid w:val="00A762CF"/>
    <w:rsid w:val="00A76AC9"/>
    <w:rsid w:val="00A80A5D"/>
    <w:rsid w:val="00A81D88"/>
    <w:rsid w:val="00A81DA7"/>
    <w:rsid w:val="00A82088"/>
    <w:rsid w:val="00A82F9D"/>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B1B"/>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3CC6"/>
    <w:rsid w:val="00B46CCB"/>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124B"/>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4B90"/>
    <w:rsid w:val="00C8500F"/>
    <w:rsid w:val="00C853F8"/>
    <w:rsid w:val="00C85417"/>
    <w:rsid w:val="00C8741D"/>
    <w:rsid w:val="00C87F19"/>
    <w:rsid w:val="00C90A4E"/>
    <w:rsid w:val="00C938BB"/>
    <w:rsid w:val="00C9425B"/>
    <w:rsid w:val="00C95985"/>
    <w:rsid w:val="00C96E06"/>
    <w:rsid w:val="00C96E3F"/>
    <w:rsid w:val="00C97877"/>
    <w:rsid w:val="00CA1229"/>
    <w:rsid w:val="00CA398E"/>
    <w:rsid w:val="00CA3FC4"/>
    <w:rsid w:val="00CA42E3"/>
    <w:rsid w:val="00CA52D7"/>
    <w:rsid w:val="00CA561B"/>
    <w:rsid w:val="00CA638D"/>
    <w:rsid w:val="00CA742A"/>
    <w:rsid w:val="00CA7765"/>
    <w:rsid w:val="00CB0BBE"/>
    <w:rsid w:val="00CB427D"/>
    <w:rsid w:val="00CB6718"/>
    <w:rsid w:val="00CB7F2F"/>
    <w:rsid w:val="00CC2759"/>
    <w:rsid w:val="00CC2DDB"/>
    <w:rsid w:val="00CC3660"/>
    <w:rsid w:val="00CC5026"/>
    <w:rsid w:val="00CC64FF"/>
    <w:rsid w:val="00CD15B9"/>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BE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8696C"/>
    <w:rsid w:val="00E902E8"/>
    <w:rsid w:val="00E910B5"/>
    <w:rsid w:val="00E962E6"/>
    <w:rsid w:val="00E97245"/>
    <w:rsid w:val="00EA0234"/>
    <w:rsid w:val="00EA16F4"/>
    <w:rsid w:val="00EA3E37"/>
    <w:rsid w:val="00EA7C4F"/>
    <w:rsid w:val="00EB001C"/>
    <w:rsid w:val="00EB2273"/>
    <w:rsid w:val="00EB3FD7"/>
    <w:rsid w:val="00EB512A"/>
    <w:rsid w:val="00EB5DBF"/>
    <w:rsid w:val="00EB678F"/>
    <w:rsid w:val="00EB7615"/>
    <w:rsid w:val="00EC0446"/>
    <w:rsid w:val="00EC0DE9"/>
    <w:rsid w:val="00EC13DB"/>
    <w:rsid w:val="00EC192C"/>
    <w:rsid w:val="00EC2FE0"/>
    <w:rsid w:val="00ED0118"/>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1F7C"/>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5E7F"/>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554"/>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CF73C"/>
  <w15:docId w15:val="{9ECF34BA-2F32-478B-B07C-8970687E0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79A98-D042-48D2-AA0A-61C3B76F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564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2</cp:revision>
  <cp:lastPrinted>2016-01-13T10:28:00Z</cp:lastPrinted>
  <dcterms:created xsi:type="dcterms:W3CDTF">2016-08-12T13:29:00Z</dcterms:created>
  <dcterms:modified xsi:type="dcterms:W3CDTF">2016-08-12T13:29:00Z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